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322CD" w14:textId="77777777" w:rsidR="00351D49" w:rsidRDefault="00351D49" w:rsidP="004F403D">
      <w:pPr>
        <w:pStyle w:val="Corpsdetexte"/>
        <w:jc w:val="center"/>
        <w:rPr>
          <w:rFonts w:ascii="Times New Roman"/>
          <w:noProof/>
        </w:rPr>
        <w:sectPr w:rsidR="00351D49" w:rsidSect="00045911">
          <w:headerReference w:type="default" r:id="rId8"/>
          <w:footerReference w:type="even" r:id="rId9"/>
          <w:footerReference w:type="default" r:id="rId10"/>
          <w:type w:val="continuous"/>
          <w:pgSz w:w="11910" w:h="16840"/>
          <w:pgMar w:top="964" w:right="964" w:bottom="964" w:left="964" w:header="720" w:footer="720" w:gutter="0"/>
          <w:cols w:space="720"/>
        </w:sectPr>
      </w:pPr>
    </w:p>
    <w:p w14:paraId="775AE5F1" w14:textId="77777777" w:rsidR="000924D0" w:rsidRDefault="000924D0" w:rsidP="00CD5E65">
      <w:pPr>
        <w:pStyle w:val="Corpsdetexte"/>
        <w:ind w:left="128"/>
        <w:jc w:val="center"/>
        <w:rPr>
          <w:rFonts w:ascii="Times New Roman"/>
          <w:noProof/>
        </w:rPr>
      </w:pPr>
    </w:p>
    <w:p w14:paraId="753435B9" w14:textId="77777777" w:rsidR="0079276E" w:rsidRDefault="0079276E" w:rsidP="00CD5E65">
      <w:pPr>
        <w:pStyle w:val="Corpsdetexte"/>
        <w:ind w:left="128"/>
        <w:jc w:val="center"/>
        <w:rPr>
          <w:rFonts w:ascii="Times New Roman"/>
          <w:noProof/>
        </w:rPr>
      </w:pPr>
    </w:p>
    <w:p w14:paraId="6EFDFF0D" w14:textId="77777777" w:rsidR="0079276E" w:rsidRPr="0079276E" w:rsidRDefault="0079276E" w:rsidP="00CD5E65">
      <w:pPr>
        <w:pStyle w:val="Corpsdetexte"/>
        <w:ind w:left="128"/>
        <w:jc w:val="center"/>
        <w:rPr>
          <w:rFonts w:ascii="Times New Roman"/>
        </w:rPr>
      </w:pPr>
    </w:p>
    <w:p w14:paraId="212E97E0" w14:textId="77777777" w:rsidR="000924D0" w:rsidRPr="00290741" w:rsidRDefault="000924D0" w:rsidP="00CD5E65">
      <w:pPr>
        <w:pStyle w:val="Corpsdetexte"/>
        <w:jc w:val="center"/>
        <w:rPr>
          <w:b/>
        </w:rPr>
      </w:pPr>
    </w:p>
    <w:p w14:paraId="4151C8B5" w14:textId="77777777" w:rsidR="00D66FCC" w:rsidRDefault="00D66FCC" w:rsidP="00D66FCC">
      <w:pPr>
        <w:spacing w:after="120"/>
        <w:jc w:val="center"/>
        <w:rPr>
          <w:rFonts w:asciiTheme="majorHAnsi" w:eastAsia="Adobe Gothic Std B" w:hAnsiTheme="majorHAnsi" w:cstheme="majorHAnsi"/>
          <w:b/>
          <w:color w:val="000000" w:themeColor="text1"/>
          <w:sz w:val="44"/>
          <w:szCs w:val="44"/>
        </w:rPr>
      </w:pPr>
      <w:r>
        <w:rPr>
          <w:rFonts w:asciiTheme="majorHAnsi" w:eastAsia="Adobe Gothic Std B" w:hAnsiTheme="majorHAnsi" w:cstheme="majorHAnsi"/>
          <w:b/>
          <w:color w:val="000000" w:themeColor="text1"/>
          <w:sz w:val="44"/>
          <w:szCs w:val="44"/>
        </w:rPr>
        <w:t xml:space="preserve">Annexe D </w:t>
      </w:r>
    </w:p>
    <w:p w14:paraId="46BCD593" w14:textId="1174CFE3" w:rsidR="00D66FCC" w:rsidRDefault="00D66FCC" w:rsidP="00D66FCC">
      <w:pPr>
        <w:spacing w:after="120"/>
        <w:jc w:val="center"/>
        <w:rPr>
          <w:rFonts w:asciiTheme="majorHAnsi" w:eastAsia="Adobe Gothic Std B" w:hAnsiTheme="majorHAnsi" w:cstheme="majorHAnsi"/>
          <w:b/>
          <w:color w:val="000000" w:themeColor="text1"/>
          <w:sz w:val="32"/>
          <w:szCs w:val="32"/>
        </w:rPr>
      </w:pPr>
      <w:proofErr w:type="gramStart"/>
      <w:r w:rsidRPr="00D66FCC">
        <w:rPr>
          <w:rFonts w:asciiTheme="majorHAnsi" w:eastAsia="Adobe Gothic Std B" w:hAnsiTheme="majorHAnsi" w:cstheme="majorHAnsi"/>
          <w:b/>
          <w:color w:val="000000" w:themeColor="text1"/>
          <w:sz w:val="32"/>
          <w:szCs w:val="32"/>
        </w:rPr>
        <w:t>au</w:t>
      </w:r>
      <w:proofErr w:type="gramEnd"/>
      <w:r w:rsidRPr="00D66FCC">
        <w:rPr>
          <w:rFonts w:asciiTheme="majorHAnsi" w:eastAsia="Adobe Gothic Std B" w:hAnsiTheme="majorHAnsi" w:cstheme="majorHAnsi"/>
          <w:b/>
          <w:color w:val="000000" w:themeColor="text1"/>
          <w:sz w:val="32"/>
          <w:szCs w:val="32"/>
        </w:rPr>
        <w:t xml:space="preserve"> cahier des charges régional de la PDSA</w:t>
      </w:r>
      <w:r>
        <w:rPr>
          <w:rFonts w:asciiTheme="majorHAnsi" w:eastAsia="Adobe Gothic Std B" w:hAnsiTheme="majorHAnsi" w:cstheme="majorHAnsi"/>
          <w:b/>
          <w:color w:val="000000" w:themeColor="text1"/>
          <w:sz w:val="32"/>
          <w:szCs w:val="32"/>
        </w:rPr>
        <w:t xml:space="preserve"> relative au c</w:t>
      </w:r>
      <w:r w:rsidRPr="00D66FCC">
        <w:rPr>
          <w:rFonts w:asciiTheme="majorHAnsi" w:eastAsia="Adobe Gothic Std B" w:hAnsiTheme="majorHAnsi" w:cstheme="majorHAnsi"/>
          <w:b/>
          <w:color w:val="000000" w:themeColor="text1"/>
          <w:sz w:val="32"/>
          <w:szCs w:val="32"/>
        </w:rPr>
        <w:t>alendrier des jours PDSA</w:t>
      </w:r>
    </w:p>
    <w:p w14:paraId="555A4E14" w14:textId="03AFDAEF" w:rsidR="00D66FCC" w:rsidRPr="00D66FCC" w:rsidRDefault="00D66FCC" w:rsidP="00D66FCC">
      <w:pPr>
        <w:jc w:val="center"/>
        <w:rPr>
          <w:sz w:val="32"/>
          <w:szCs w:val="32"/>
        </w:rPr>
      </w:pPr>
      <w:r w:rsidRPr="00D66FCC">
        <w:rPr>
          <w:sz w:val="32"/>
          <w:szCs w:val="32"/>
        </w:rPr>
        <w:t xml:space="preserve">Année </w:t>
      </w:r>
      <w:r w:rsidR="00A9177B">
        <w:rPr>
          <w:sz w:val="32"/>
          <w:szCs w:val="32"/>
        </w:rPr>
        <w:t>2025</w:t>
      </w:r>
    </w:p>
    <w:p w14:paraId="1385337C" w14:textId="5F044181" w:rsidR="00965B19" w:rsidRDefault="00965B19" w:rsidP="00076B31">
      <w:pPr>
        <w:pStyle w:val="Titre1"/>
      </w:pPr>
    </w:p>
    <w:p w14:paraId="5487576E" w14:textId="4602AE11" w:rsidR="00FB17E1" w:rsidRPr="00442366" w:rsidRDefault="00B65E57" w:rsidP="00FB17E1">
      <w:pPr>
        <w:spacing w:before="60" w:after="60"/>
        <w:jc w:val="both"/>
        <w:rPr>
          <w:bCs/>
          <w:sz w:val="22"/>
          <w:szCs w:val="22"/>
        </w:rPr>
      </w:pPr>
      <w:r w:rsidRPr="00442366">
        <w:rPr>
          <w:bCs/>
          <w:sz w:val="22"/>
          <w:szCs w:val="22"/>
        </w:rPr>
        <w:t>Le calendrier ci-après défini</w:t>
      </w:r>
      <w:r w:rsidR="00442366" w:rsidRPr="00442366">
        <w:rPr>
          <w:bCs/>
          <w:sz w:val="22"/>
          <w:szCs w:val="22"/>
        </w:rPr>
        <w:t>t</w:t>
      </w:r>
      <w:r w:rsidRPr="00442366">
        <w:rPr>
          <w:bCs/>
          <w:sz w:val="22"/>
          <w:szCs w:val="22"/>
        </w:rPr>
        <w:t xml:space="preserve"> les jours fériés ainsi que les jours de ponts reconnus par l’ARS comme étant des jours de PDSA pour l’année concernée.</w:t>
      </w:r>
    </w:p>
    <w:p w14:paraId="456F3467" w14:textId="77777777" w:rsidR="00B65E57" w:rsidRPr="00442366" w:rsidRDefault="00B65E57" w:rsidP="00FB17E1">
      <w:pPr>
        <w:spacing w:before="60" w:after="60"/>
        <w:jc w:val="both"/>
        <w:rPr>
          <w:bCs/>
          <w:sz w:val="22"/>
          <w:szCs w:val="22"/>
        </w:rPr>
      </w:pPr>
    </w:p>
    <w:p w14:paraId="0FD8DACF" w14:textId="105B1AFB" w:rsidR="00B65E57" w:rsidRDefault="00B65E57" w:rsidP="00FB17E1">
      <w:pPr>
        <w:spacing w:before="60" w:after="60"/>
        <w:jc w:val="both"/>
        <w:rPr>
          <w:bCs/>
          <w:sz w:val="22"/>
          <w:szCs w:val="22"/>
        </w:rPr>
      </w:pPr>
      <w:r w:rsidRPr="00442366">
        <w:rPr>
          <w:bCs/>
          <w:sz w:val="22"/>
          <w:szCs w:val="22"/>
        </w:rPr>
        <w:t xml:space="preserve">Le calendrier des jours de ponts est appliqué différemment selon les départements, </w:t>
      </w:r>
      <w:r w:rsidR="00442366">
        <w:rPr>
          <w:bCs/>
          <w:sz w:val="22"/>
          <w:szCs w:val="22"/>
        </w:rPr>
        <w:t>pour tenir compte de la réalité de chaque territoire sur l’ouverture des cabinets médicaux ainsi que sur la démographie médicale. Voici le détail pour chaque département :</w:t>
      </w:r>
    </w:p>
    <w:p w14:paraId="77A7154B" w14:textId="77777777" w:rsidR="00442366" w:rsidRDefault="00442366" w:rsidP="00FB17E1">
      <w:pPr>
        <w:spacing w:before="60" w:after="60"/>
        <w:jc w:val="both"/>
        <w:rPr>
          <w:bCs/>
          <w:sz w:val="22"/>
          <w:szCs w:val="22"/>
        </w:rPr>
      </w:pPr>
    </w:p>
    <w:p w14:paraId="7F974264" w14:textId="34150F86" w:rsidR="00442366" w:rsidRPr="00037438" w:rsidRDefault="00037438" w:rsidP="00FB17E1">
      <w:pPr>
        <w:spacing w:before="60" w:after="60"/>
        <w:jc w:val="both"/>
        <w:rPr>
          <w:b/>
          <w:sz w:val="22"/>
          <w:szCs w:val="22"/>
          <w:u w:val="single"/>
        </w:rPr>
      </w:pPr>
      <w:r w:rsidRPr="00037438">
        <w:rPr>
          <w:b/>
          <w:sz w:val="22"/>
          <w:szCs w:val="22"/>
          <w:u w:val="single"/>
        </w:rPr>
        <w:t>Loire-Atlantique</w:t>
      </w:r>
      <w:r>
        <w:rPr>
          <w:b/>
          <w:sz w:val="22"/>
          <w:szCs w:val="22"/>
          <w:u w:val="single"/>
        </w:rPr>
        <w:t> :</w:t>
      </w:r>
    </w:p>
    <w:p w14:paraId="71A80177" w14:textId="0500D8EC" w:rsidR="00037438" w:rsidRDefault="00037438" w:rsidP="00FB17E1">
      <w:pPr>
        <w:spacing w:before="60" w:after="6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Application du calendrier tel que défini ci-après dans l’annexe.</w:t>
      </w:r>
    </w:p>
    <w:p w14:paraId="0989FFDB" w14:textId="77777777" w:rsidR="00037438" w:rsidRDefault="00037438" w:rsidP="00FB17E1">
      <w:pPr>
        <w:spacing w:before="60" w:after="60"/>
        <w:jc w:val="both"/>
        <w:rPr>
          <w:bCs/>
          <w:sz w:val="22"/>
          <w:szCs w:val="22"/>
        </w:rPr>
      </w:pPr>
    </w:p>
    <w:p w14:paraId="0C444D48" w14:textId="1955C8CE" w:rsidR="00037438" w:rsidRPr="00037438" w:rsidRDefault="00037438" w:rsidP="00FB17E1">
      <w:pPr>
        <w:spacing w:before="60" w:after="60"/>
        <w:jc w:val="both"/>
        <w:rPr>
          <w:b/>
          <w:sz w:val="22"/>
          <w:szCs w:val="22"/>
          <w:u w:val="single"/>
        </w:rPr>
      </w:pPr>
      <w:r w:rsidRPr="00037438">
        <w:rPr>
          <w:b/>
          <w:sz w:val="22"/>
          <w:szCs w:val="22"/>
          <w:u w:val="single"/>
        </w:rPr>
        <w:t>Maine et Loire</w:t>
      </w:r>
      <w:r>
        <w:rPr>
          <w:b/>
          <w:sz w:val="22"/>
          <w:szCs w:val="22"/>
          <w:u w:val="single"/>
        </w:rPr>
        <w:t> :</w:t>
      </w:r>
    </w:p>
    <w:p w14:paraId="3C084D4A" w14:textId="0AC9D177" w:rsidR="00037438" w:rsidRDefault="0043172E" w:rsidP="00FB17E1">
      <w:pPr>
        <w:spacing w:before="60" w:after="60"/>
        <w:jc w:val="both"/>
        <w:rPr>
          <w:bCs/>
          <w:sz w:val="22"/>
          <w:szCs w:val="22"/>
        </w:rPr>
      </w:pPr>
      <w:r w:rsidRPr="00A9177B">
        <w:rPr>
          <w:bCs/>
          <w:sz w:val="22"/>
          <w:szCs w:val="22"/>
        </w:rPr>
        <w:t xml:space="preserve">Seul les samedis 31 mai et 16 août 2025 sont appliqués comme des jours de ponts PDSA. Les autres jours de ponts du calendrier </w:t>
      </w:r>
      <w:r w:rsidR="00371A95" w:rsidRPr="00A9177B">
        <w:rPr>
          <w:bCs/>
          <w:sz w:val="22"/>
          <w:szCs w:val="22"/>
        </w:rPr>
        <w:t>ci-après</w:t>
      </w:r>
      <w:r w:rsidRPr="00A9177B">
        <w:rPr>
          <w:bCs/>
          <w:sz w:val="22"/>
          <w:szCs w:val="22"/>
        </w:rPr>
        <w:t xml:space="preserve"> sont considérés</w:t>
      </w:r>
      <w:r>
        <w:rPr>
          <w:bCs/>
          <w:sz w:val="22"/>
          <w:szCs w:val="22"/>
        </w:rPr>
        <w:t xml:space="preserve"> comme des jours normaux de continuité des soins.</w:t>
      </w:r>
    </w:p>
    <w:p w14:paraId="599EADB6" w14:textId="77777777" w:rsidR="00037438" w:rsidRDefault="00037438" w:rsidP="00FB17E1">
      <w:pPr>
        <w:spacing w:before="60" w:after="60"/>
        <w:jc w:val="both"/>
        <w:rPr>
          <w:bCs/>
          <w:sz w:val="22"/>
          <w:szCs w:val="22"/>
        </w:rPr>
      </w:pPr>
    </w:p>
    <w:p w14:paraId="353D2260" w14:textId="37DD3AC2" w:rsidR="00037438" w:rsidRPr="00037438" w:rsidRDefault="00037438" w:rsidP="00FB17E1">
      <w:pPr>
        <w:spacing w:before="60" w:after="60"/>
        <w:jc w:val="both"/>
        <w:rPr>
          <w:b/>
          <w:sz w:val="22"/>
          <w:szCs w:val="22"/>
          <w:u w:val="single"/>
        </w:rPr>
      </w:pPr>
      <w:r w:rsidRPr="00037438">
        <w:rPr>
          <w:b/>
          <w:sz w:val="22"/>
          <w:szCs w:val="22"/>
          <w:u w:val="single"/>
        </w:rPr>
        <w:t>Mayenne</w:t>
      </w:r>
      <w:r>
        <w:rPr>
          <w:b/>
          <w:sz w:val="22"/>
          <w:szCs w:val="22"/>
          <w:u w:val="single"/>
        </w:rPr>
        <w:t> :</w:t>
      </w:r>
    </w:p>
    <w:p w14:paraId="25009438" w14:textId="77777777" w:rsidR="006B2C6D" w:rsidRDefault="006B2C6D" w:rsidP="006B2C6D">
      <w:pPr>
        <w:spacing w:before="60" w:after="6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Application du calendrier tel que défini ci-après dans l’annexe.</w:t>
      </w:r>
    </w:p>
    <w:p w14:paraId="04F831CF" w14:textId="77777777" w:rsidR="00037438" w:rsidRDefault="00037438" w:rsidP="00FB17E1">
      <w:pPr>
        <w:spacing w:before="60" w:after="60"/>
        <w:jc w:val="both"/>
        <w:rPr>
          <w:bCs/>
          <w:sz w:val="22"/>
          <w:szCs w:val="22"/>
        </w:rPr>
      </w:pPr>
    </w:p>
    <w:p w14:paraId="4AE078BE" w14:textId="6086E06F" w:rsidR="00037438" w:rsidRPr="00037438" w:rsidRDefault="00037438" w:rsidP="00FB17E1">
      <w:pPr>
        <w:spacing w:before="60" w:after="60"/>
        <w:jc w:val="both"/>
        <w:rPr>
          <w:b/>
          <w:sz w:val="22"/>
          <w:szCs w:val="22"/>
          <w:u w:val="single"/>
        </w:rPr>
      </w:pPr>
      <w:r w:rsidRPr="00037438">
        <w:rPr>
          <w:b/>
          <w:sz w:val="22"/>
          <w:szCs w:val="22"/>
          <w:u w:val="single"/>
        </w:rPr>
        <w:t>Sarthe</w:t>
      </w:r>
      <w:r>
        <w:rPr>
          <w:b/>
          <w:sz w:val="22"/>
          <w:szCs w:val="22"/>
          <w:u w:val="single"/>
        </w:rPr>
        <w:t> :</w:t>
      </w:r>
    </w:p>
    <w:p w14:paraId="4778E175" w14:textId="34F008FD" w:rsidR="00037438" w:rsidRDefault="00037438" w:rsidP="00FB17E1">
      <w:pPr>
        <w:spacing w:before="60" w:after="6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Les jours de ponts identifiés PDSA dans le calendrier sont considérés comme des jours normaux de continuité des soins, les cabinets médicaux étant ouverts et/ou en raison de la faible démographie </w:t>
      </w:r>
      <w:proofErr w:type="gramStart"/>
      <w:r>
        <w:rPr>
          <w:bCs/>
          <w:sz w:val="22"/>
          <w:szCs w:val="22"/>
        </w:rPr>
        <w:t>médicale</w:t>
      </w:r>
      <w:proofErr w:type="gramEnd"/>
      <w:r>
        <w:rPr>
          <w:bCs/>
          <w:sz w:val="22"/>
          <w:szCs w:val="22"/>
        </w:rPr>
        <w:t>.</w:t>
      </w:r>
    </w:p>
    <w:p w14:paraId="41DF8DF6" w14:textId="77777777" w:rsidR="00037438" w:rsidRDefault="00037438" w:rsidP="00FB17E1">
      <w:pPr>
        <w:spacing w:before="60" w:after="60"/>
        <w:jc w:val="both"/>
        <w:rPr>
          <w:bCs/>
          <w:sz w:val="22"/>
          <w:szCs w:val="22"/>
        </w:rPr>
      </w:pPr>
    </w:p>
    <w:p w14:paraId="51469172" w14:textId="56F63DFD" w:rsidR="00037438" w:rsidRDefault="00037438" w:rsidP="00FB17E1">
      <w:pPr>
        <w:spacing w:before="60" w:after="6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Dans ce département, aucun jour de ponts </w:t>
      </w:r>
      <w:r w:rsidR="00371A95">
        <w:rPr>
          <w:bCs/>
          <w:sz w:val="22"/>
          <w:szCs w:val="22"/>
        </w:rPr>
        <w:t xml:space="preserve">n’est </w:t>
      </w:r>
      <w:r>
        <w:rPr>
          <w:bCs/>
          <w:sz w:val="22"/>
          <w:szCs w:val="22"/>
        </w:rPr>
        <w:t>appliqué en PDSA</w:t>
      </w:r>
    </w:p>
    <w:p w14:paraId="274A87B5" w14:textId="77777777" w:rsidR="00037438" w:rsidRDefault="00037438" w:rsidP="00FB17E1">
      <w:pPr>
        <w:spacing w:before="60" w:after="60"/>
        <w:jc w:val="both"/>
        <w:rPr>
          <w:bCs/>
          <w:sz w:val="22"/>
          <w:szCs w:val="22"/>
        </w:rPr>
      </w:pPr>
    </w:p>
    <w:p w14:paraId="34E8AB4B" w14:textId="10A03C21" w:rsidR="00037438" w:rsidRPr="00037438" w:rsidRDefault="00037438" w:rsidP="00FB17E1">
      <w:pPr>
        <w:spacing w:before="60" w:after="60"/>
        <w:jc w:val="both"/>
        <w:rPr>
          <w:b/>
          <w:sz w:val="22"/>
          <w:szCs w:val="22"/>
          <w:u w:val="single"/>
        </w:rPr>
      </w:pPr>
      <w:r w:rsidRPr="00037438">
        <w:rPr>
          <w:b/>
          <w:sz w:val="22"/>
          <w:szCs w:val="22"/>
          <w:u w:val="single"/>
        </w:rPr>
        <w:t>Vendée</w:t>
      </w:r>
      <w:r>
        <w:rPr>
          <w:b/>
          <w:sz w:val="22"/>
          <w:szCs w:val="22"/>
          <w:u w:val="single"/>
        </w:rPr>
        <w:t> :</w:t>
      </w:r>
    </w:p>
    <w:p w14:paraId="7A7E6A0F" w14:textId="1C16BD7E" w:rsidR="00037438" w:rsidRDefault="00B16931" w:rsidP="00FB17E1">
      <w:pPr>
        <w:spacing w:before="60" w:after="6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Pour la régulation, le calendrier tel que défini ci-après dans l’annexe s’applique en l’état.</w:t>
      </w:r>
    </w:p>
    <w:p w14:paraId="631FD52D" w14:textId="77777777" w:rsidR="00B16931" w:rsidRDefault="00B16931" w:rsidP="00FB17E1">
      <w:pPr>
        <w:spacing w:before="60" w:after="60"/>
        <w:jc w:val="both"/>
        <w:rPr>
          <w:bCs/>
          <w:sz w:val="22"/>
          <w:szCs w:val="22"/>
        </w:rPr>
      </w:pPr>
    </w:p>
    <w:p w14:paraId="0127C262" w14:textId="19D34EAC" w:rsidR="00B16931" w:rsidRDefault="00B16931" w:rsidP="00FB17E1">
      <w:pPr>
        <w:spacing w:before="60" w:after="6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Pour l’effection, seul le secteur de Noirmoutier applique le calendrier des jours de ponts tel que définit ci-après. Pour les autres secteurs, les jours de ponts identifiés dans le calendrier sont considérés comme des jours normaux de continuité des soins avec ouverture des cabinets.</w:t>
      </w:r>
    </w:p>
    <w:p w14:paraId="4967C29B" w14:textId="77777777" w:rsidR="00037438" w:rsidRPr="00442366" w:rsidRDefault="00037438" w:rsidP="00FB17E1">
      <w:pPr>
        <w:spacing w:before="60" w:after="60"/>
        <w:jc w:val="both"/>
        <w:rPr>
          <w:bCs/>
          <w:sz w:val="22"/>
          <w:szCs w:val="22"/>
        </w:rPr>
      </w:pPr>
    </w:p>
    <w:p w14:paraId="313A945A" w14:textId="77777777" w:rsidR="00D66FCC" w:rsidRPr="00442366" w:rsidRDefault="00D66FCC" w:rsidP="00FB17E1">
      <w:pPr>
        <w:spacing w:before="60" w:after="60"/>
        <w:jc w:val="both"/>
        <w:rPr>
          <w:b/>
          <w:sz w:val="22"/>
          <w:szCs w:val="22"/>
        </w:rPr>
      </w:pPr>
    </w:p>
    <w:p w14:paraId="4ED74AE9" w14:textId="77777777" w:rsidR="00D66FCC" w:rsidRDefault="00D66FCC" w:rsidP="00FB17E1">
      <w:pPr>
        <w:spacing w:before="60" w:after="60"/>
        <w:jc w:val="both"/>
        <w:rPr>
          <w:b/>
        </w:rPr>
        <w:sectPr w:rsidR="00D66FCC" w:rsidSect="00272898">
          <w:headerReference w:type="default" r:id="rId11"/>
          <w:footerReference w:type="default" r:id="rId12"/>
          <w:type w:val="continuous"/>
          <w:pgSz w:w="11910" w:h="16840"/>
          <w:pgMar w:top="963" w:right="964" w:bottom="965" w:left="964" w:header="720" w:footer="0" w:gutter="0"/>
          <w:cols w:space="720"/>
        </w:sectPr>
      </w:pPr>
    </w:p>
    <w:p w14:paraId="2A889BAE" w14:textId="01B4F5D7" w:rsidR="00D66FCC" w:rsidRDefault="00B65E57" w:rsidP="00FB17E1">
      <w:pPr>
        <w:spacing w:before="60" w:after="60"/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01F6931A" wp14:editId="787F857E">
            <wp:extent cx="9502140" cy="6126346"/>
            <wp:effectExtent l="0" t="0" r="3810" b="8255"/>
            <wp:docPr id="21473018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2877" cy="61590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EF3FBF" w14:textId="11C23764" w:rsidR="00B65E57" w:rsidRPr="007C5572" w:rsidRDefault="00B65E57" w:rsidP="00FB17E1">
      <w:pPr>
        <w:spacing w:before="60" w:after="60"/>
        <w:jc w:val="both"/>
        <w:rPr>
          <w:b/>
        </w:rPr>
      </w:pPr>
      <w:r>
        <w:rPr>
          <w:b/>
        </w:rPr>
        <w:t>JF = Jours fériés ; JP = Jours de pont ; Se = semaine ; SA = samedi et DI = dimanche</w:t>
      </w:r>
    </w:p>
    <w:sectPr w:rsidR="00B65E57" w:rsidRPr="007C5572" w:rsidSect="00D66FCC">
      <w:headerReference w:type="default" r:id="rId14"/>
      <w:pgSz w:w="16840" w:h="11910" w:orient="landscape"/>
      <w:pgMar w:top="964" w:right="963" w:bottom="964" w:left="965" w:header="72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31693D" w14:textId="77777777" w:rsidR="005B2ED4" w:rsidRDefault="005B2ED4" w:rsidP="0079276E">
      <w:r>
        <w:separator/>
      </w:r>
    </w:p>
  </w:endnote>
  <w:endnote w:type="continuationSeparator" w:id="0">
    <w:p w14:paraId="26B5C3B4" w14:textId="77777777" w:rsidR="005B2ED4" w:rsidRDefault="005B2ED4" w:rsidP="00792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1718778179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448BB342" w14:textId="77777777" w:rsidR="00681D72" w:rsidRDefault="00681D72" w:rsidP="00C27E6A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3E68CC16" w14:textId="77777777" w:rsidR="00681D72" w:rsidRDefault="00681D7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2815D" w14:textId="77777777" w:rsidR="00B51CAE" w:rsidRPr="0047628B" w:rsidRDefault="00B51CAE" w:rsidP="00B51CAE">
    <w:pPr>
      <w:pStyle w:val="PieddePage2"/>
      <w:rPr>
        <w:color w:val="344E4A" w:themeColor="accent1" w:themeShade="BF"/>
        <w:szCs w:val="14"/>
      </w:rPr>
    </w:pPr>
  </w:p>
  <w:p w14:paraId="2C29BF5A" w14:textId="77777777" w:rsidR="00B51CAE" w:rsidRPr="0047628B" w:rsidRDefault="00B51CAE" w:rsidP="00B51CAE">
    <w:pPr>
      <w:rPr>
        <w:color w:val="344E4A" w:themeColor="accent1" w:themeShade="BF"/>
        <w:sz w:val="14"/>
        <w:szCs w:val="14"/>
      </w:rPr>
    </w:pPr>
    <w:r w:rsidRPr="0047628B">
      <w:rPr>
        <w:color w:val="344E4A" w:themeColor="accent1" w:themeShade="BF"/>
        <w:sz w:val="14"/>
        <w:szCs w:val="14"/>
      </w:rPr>
      <w:t>17 boulevard Gaston Doumergue - CS 56233</w:t>
    </w:r>
  </w:p>
  <w:p w14:paraId="589EAF1E" w14:textId="77777777" w:rsidR="00B51CAE" w:rsidRPr="0047628B" w:rsidRDefault="00B51CAE" w:rsidP="00B51CAE">
    <w:pPr>
      <w:rPr>
        <w:color w:val="344E4A" w:themeColor="accent1" w:themeShade="BF"/>
        <w:sz w:val="14"/>
        <w:szCs w:val="14"/>
      </w:rPr>
    </w:pPr>
    <w:r w:rsidRPr="0047628B">
      <w:rPr>
        <w:color w:val="344E4A" w:themeColor="accent1" w:themeShade="BF"/>
        <w:sz w:val="14"/>
        <w:szCs w:val="14"/>
      </w:rPr>
      <w:t>44262 NANTES cedex 2</w:t>
    </w:r>
  </w:p>
  <w:p w14:paraId="5AB1006B" w14:textId="77777777" w:rsidR="00B51CAE" w:rsidRPr="00387B6B" w:rsidRDefault="00B51CAE" w:rsidP="00B51CAE">
    <w:pPr>
      <w:rPr>
        <w:rFonts w:ascii="Franklin Gothic Book" w:hAnsi="Franklin Gothic Book"/>
        <w:color w:val="000080"/>
        <w:sz w:val="16"/>
        <w:szCs w:val="16"/>
      </w:rPr>
    </w:pPr>
    <w:r w:rsidRPr="0047628B">
      <w:rPr>
        <w:b/>
        <w:color w:val="344E4A" w:themeColor="accent1" w:themeShade="BF"/>
        <w:sz w:val="16"/>
        <w:szCs w:val="16"/>
      </w:rPr>
      <w:t>www.pays-de-la-loire.ars.sante.fr</w:t>
    </w:r>
  </w:p>
  <w:p w14:paraId="5369DFA3" w14:textId="77777777" w:rsidR="00B51CAE" w:rsidRDefault="005138E5">
    <w:pPr>
      <w:pStyle w:val="Pieddepage"/>
    </w:pPr>
    <w:r>
      <w:rPr>
        <w:rFonts w:ascii="Franklin Gothic Book" w:hAnsi="Franklin Gothic Book"/>
        <w:noProof/>
        <w:color w:val="000080"/>
        <w:sz w:val="16"/>
        <w:szCs w:val="16"/>
        <w:lang w:eastAsia="fr-FR"/>
      </w:rPr>
      <w:drawing>
        <wp:anchor distT="0" distB="0" distL="114300" distR="114300" simplePos="0" relativeHeight="251658752" behindDoc="0" locked="0" layoutInCell="1" allowOverlap="1" wp14:anchorId="00F52F42" wp14:editId="5922B1A5">
          <wp:simplePos x="0" y="0"/>
          <wp:positionH relativeFrom="column">
            <wp:posOffset>-3810</wp:posOffset>
          </wp:positionH>
          <wp:positionV relativeFrom="paragraph">
            <wp:posOffset>6350</wp:posOffset>
          </wp:positionV>
          <wp:extent cx="820420" cy="187325"/>
          <wp:effectExtent l="0" t="0" r="0" b="3175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S logo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0420" cy="1873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FB2129" w14:textId="77777777" w:rsidR="0066014E" w:rsidRPr="00965B19" w:rsidRDefault="0066014E" w:rsidP="0066014E">
    <w:pPr>
      <w:tabs>
        <w:tab w:val="left" w:pos="5009"/>
      </w:tabs>
      <w:spacing w:line="170" w:lineRule="exact"/>
      <w:ind w:left="111"/>
      <w:rPr>
        <w:sz w:val="14"/>
      </w:rPr>
    </w:pPr>
  </w:p>
  <w:sdt>
    <w:sdtPr>
      <w:rPr>
        <w:rStyle w:val="Numrodepage"/>
        <w:sz w:val="14"/>
        <w:szCs w:val="14"/>
      </w:rPr>
      <w:id w:val="-2113970730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0E33C856" w14:textId="77777777" w:rsidR="0066014E" w:rsidRPr="00C27E6A" w:rsidRDefault="0066014E" w:rsidP="0066014E">
        <w:pPr>
          <w:pStyle w:val="Pieddepage"/>
          <w:framePr w:wrap="none" w:vAnchor="text" w:hAnchor="margin" w:xAlign="center" w:y="290"/>
          <w:rPr>
            <w:rStyle w:val="Numrodepage"/>
            <w:sz w:val="14"/>
            <w:szCs w:val="14"/>
          </w:rPr>
        </w:pPr>
        <w:r w:rsidRPr="00C27E6A">
          <w:rPr>
            <w:rStyle w:val="Numrodepage"/>
            <w:sz w:val="14"/>
            <w:szCs w:val="14"/>
          </w:rPr>
          <w:fldChar w:fldCharType="begin"/>
        </w:r>
        <w:r w:rsidRPr="00C27E6A">
          <w:rPr>
            <w:rStyle w:val="Numrodepage"/>
            <w:sz w:val="14"/>
            <w:szCs w:val="14"/>
          </w:rPr>
          <w:instrText xml:space="preserve"> PAGE </w:instrText>
        </w:r>
        <w:r w:rsidRPr="00C27E6A">
          <w:rPr>
            <w:rStyle w:val="Numrodepage"/>
            <w:sz w:val="14"/>
            <w:szCs w:val="14"/>
          </w:rPr>
          <w:fldChar w:fldCharType="separate"/>
        </w:r>
        <w:r w:rsidR="00622856">
          <w:rPr>
            <w:rStyle w:val="Numrodepage"/>
            <w:noProof/>
            <w:sz w:val="14"/>
            <w:szCs w:val="14"/>
          </w:rPr>
          <w:t>2</w:t>
        </w:r>
        <w:r w:rsidRPr="00C27E6A">
          <w:rPr>
            <w:rStyle w:val="Numrodepage"/>
            <w:sz w:val="14"/>
            <w:szCs w:val="14"/>
          </w:rPr>
          <w:fldChar w:fldCharType="end"/>
        </w:r>
      </w:p>
    </w:sdtContent>
  </w:sdt>
  <w:p w14:paraId="739945AF" w14:textId="77777777" w:rsidR="000E64B8" w:rsidRPr="00800306" w:rsidRDefault="000E64B8" w:rsidP="0066014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6D54D7" w14:textId="77777777" w:rsidR="005B2ED4" w:rsidRDefault="005B2ED4" w:rsidP="0079276E">
      <w:r>
        <w:separator/>
      </w:r>
    </w:p>
  </w:footnote>
  <w:footnote w:type="continuationSeparator" w:id="0">
    <w:p w14:paraId="6D282B25" w14:textId="77777777" w:rsidR="005B2ED4" w:rsidRDefault="005B2ED4" w:rsidP="007927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537038" w14:textId="77777777" w:rsidR="00992DBA" w:rsidRDefault="004E411B" w:rsidP="0047231F">
    <w:pPr>
      <w:pStyle w:val="En-tte"/>
      <w:tabs>
        <w:tab w:val="clear" w:pos="4513"/>
      </w:tabs>
      <w:jc w:val="right"/>
      <w:rPr>
        <w:b/>
        <w:bCs/>
        <w:sz w:val="24"/>
        <w:szCs w:val="24"/>
      </w:rPr>
    </w:pPr>
    <w:r w:rsidRPr="000F3A76">
      <w:rPr>
        <w:noProof/>
        <w:lang w:eastAsia="fr-FR"/>
      </w:rPr>
      <w:drawing>
        <wp:anchor distT="0" distB="0" distL="114300" distR="114300" simplePos="0" relativeHeight="251657728" behindDoc="0" locked="0" layoutInCell="1" allowOverlap="1" wp14:anchorId="558F37EC" wp14:editId="7261321F">
          <wp:simplePos x="0" y="0"/>
          <wp:positionH relativeFrom="column">
            <wp:posOffset>4751796</wp:posOffset>
          </wp:positionH>
          <wp:positionV relativeFrom="paragraph">
            <wp:posOffset>151638</wp:posOffset>
          </wp:positionV>
          <wp:extent cx="1532255" cy="882994"/>
          <wp:effectExtent l="0" t="0" r="0" b="0"/>
          <wp:wrapNone/>
          <wp:docPr id="31" name="Imag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partenair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2255" cy="8829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21BFC">
      <w:rPr>
        <w:noProof/>
        <w:lang w:eastAsia="fr-FR"/>
      </w:rPr>
      <w:drawing>
        <wp:anchor distT="0" distB="0" distL="114300" distR="114300" simplePos="0" relativeHeight="251656704" behindDoc="0" locked="0" layoutInCell="1" allowOverlap="1" wp14:anchorId="15CCC3DA" wp14:editId="6B824DF2">
          <wp:simplePos x="0" y="0"/>
          <wp:positionH relativeFrom="column">
            <wp:posOffset>-158115</wp:posOffset>
          </wp:positionH>
          <wp:positionV relativeFrom="paragraph">
            <wp:posOffset>-2540</wp:posOffset>
          </wp:positionV>
          <wp:extent cx="1357630" cy="1228725"/>
          <wp:effectExtent l="0" t="0" r="0" b="0"/>
          <wp:wrapTight wrapText="bothSides">
            <wp:wrapPolygon edited="0">
              <wp:start x="1616" y="1786"/>
              <wp:lineTo x="1616" y="19200"/>
              <wp:lineTo x="9295" y="19200"/>
              <wp:lineTo x="10103" y="17414"/>
              <wp:lineTo x="8891" y="16967"/>
              <wp:lineTo x="18589" y="12056"/>
              <wp:lineTo x="18185" y="9823"/>
              <wp:lineTo x="19802" y="7591"/>
              <wp:lineTo x="18589" y="6251"/>
              <wp:lineTo x="10103" y="1786"/>
              <wp:lineTo x="1616" y="1786"/>
            </wp:wrapPolygon>
          </wp:wrapTight>
          <wp:docPr id="32" name="Image 9" descr="Mac:Users:xavier.hasendahl:Desktop:ELEMENTS TEMPLATES SIG:LOGOS:REPUBLIQUE_FRANCAISE:eps:Republique_Francaise_CMJN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Mac:Users:xavier.hasendahl:Desktop:ELEMENTS TEMPLATES SIG:LOGOS:REPUBLIQUE_FRANCAISE:eps:Republique_Francaise_CMJN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763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92DBA">
      <w:rPr>
        <w:b/>
        <w:bCs/>
        <w:sz w:val="24"/>
        <w:szCs w:val="24"/>
      </w:rPr>
      <w:tab/>
    </w:r>
  </w:p>
  <w:p w14:paraId="29050D94" w14:textId="77777777" w:rsidR="00992DBA" w:rsidRDefault="00992DBA" w:rsidP="00992DBA">
    <w:pPr>
      <w:pStyle w:val="En-tte"/>
      <w:tabs>
        <w:tab w:val="clear" w:pos="4513"/>
      </w:tabs>
      <w:jc w:val="right"/>
      <w:rPr>
        <w:b/>
        <w:bCs/>
        <w:sz w:val="24"/>
        <w:szCs w:val="24"/>
      </w:rPr>
    </w:pPr>
  </w:p>
  <w:p w14:paraId="41E6BCB5" w14:textId="77777777" w:rsidR="0079276E" w:rsidRDefault="0079276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AF642" w14:textId="77777777" w:rsidR="00351D49" w:rsidRDefault="00351D49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8BBFA" w14:textId="77777777" w:rsidR="00D66FCC" w:rsidRDefault="00D66FC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9578B9"/>
    <w:multiLevelType w:val="hybridMultilevel"/>
    <w:tmpl w:val="2CA872C6"/>
    <w:lvl w:ilvl="0" w:tplc="13C6DE30">
      <w:numFmt w:val="bullet"/>
      <w:lvlText w:val="&gt;"/>
      <w:lvlJc w:val="left"/>
      <w:pPr>
        <w:ind w:left="849" w:hanging="360"/>
      </w:pPr>
      <w:rPr>
        <w:rFonts w:ascii="Arial" w:eastAsiaTheme="minorHAnsi" w:hAnsi="Arial" w:hint="default"/>
        <w:color w:val="231F20"/>
        <w:spacing w:val="-1"/>
        <w:w w:val="100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C72342"/>
    <w:multiLevelType w:val="hybridMultilevel"/>
    <w:tmpl w:val="295653A4"/>
    <w:lvl w:ilvl="0" w:tplc="9F4A753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A41A6D"/>
    <w:multiLevelType w:val="hybridMultilevel"/>
    <w:tmpl w:val="00483E52"/>
    <w:lvl w:ilvl="0" w:tplc="621A0A72">
      <w:numFmt w:val="bullet"/>
      <w:lvlText w:val="-"/>
      <w:lvlJc w:val="left"/>
      <w:pPr>
        <w:ind w:left="474" w:hanging="345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1" w:tplc="2DB00DF8">
      <w:numFmt w:val="bullet"/>
      <w:lvlText w:val="•"/>
      <w:lvlJc w:val="left"/>
      <w:pPr>
        <w:ind w:left="1454" w:hanging="345"/>
      </w:pPr>
      <w:rPr>
        <w:rFonts w:hint="default"/>
      </w:rPr>
    </w:lvl>
    <w:lvl w:ilvl="2" w:tplc="33641430">
      <w:numFmt w:val="bullet"/>
      <w:lvlText w:val="•"/>
      <w:lvlJc w:val="left"/>
      <w:pPr>
        <w:ind w:left="2429" w:hanging="345"/>
      </w:pPr>
      <w:rPr>
        <w:rFonts w:hint="default"/>
      </w:rPr>
    </w:lvl>
    <w:lvl w:ilvl="3" w:tplc="E996C52A">
      <w:numFmt w:val="bullet"/>
      <w:lvlText w:val="•"/>
      <w:lvlJc w:val="left"/>
      <w:pPr>
        <w:ind w:left="3403" w:hanging="345"/>
      </w:pPr>
      <w:rPr>
        <w:rFonts w:hint="default"/>
      </w:rPr>
    </w:lvl>
    <w:lvl w:ilvl="4" w:tplc="854AE7E0">
      <w:numFmt w:val="bullet"/>
      <w:lvlText w:val="•"/>
      <w:lvlJc w:val="left"/>
      <w:pPr>
        <w:ind w:left="4378" w:hanging="345"/>
      </w:pPr>
      <w:rPr>
        <w:rFonts w:hint="default"/>
      </w:rPr>
    </w:lvl>
    <w:lvl w:ilvl="5" w:tplc="3F226040">
      <w:numFmt w:val="bullet"/>
      <w:lvlText w:val="•"/>
      <w:lvlJc w:val="left"/>
      <w:pPr>
        <w:ind w:left="5352" w:hanging="345"/>
      </w:pPr>
      <w:rPr>
        <w:rFonts w:hint="default"/>
      </w:rPr>
    </w:lvl>
    <w:lvl w:ilvl="6" w:tplc="D2FEF46A">
      <w:numFmt w:val="bullet"/>
      <w:lvlText w:val="•"/>
      <w:lvlJc w:val="left"/>
      <w:pPr>
        <w:ind w:left="6327" w:hanging="345"/>
      </w:pPr>
      <w:rPr>
        <w:rFonts w:hint="default"/>
      </w:rPr>
    </w:lvl>
    <w:lvl w:ilvl="7" w:tplc="27649DEC">
      <w:numFmt w:val="bullet"/>
      <w:lvlText w:val="•"/>
      <w:lvlJc w:val="left"/>
      <w:pPr>
        <w:ind w:left="7301" w:hanging="345"/>
      </w:pPr>
      <w:rPr>
        <w:rFonts w:hint="default"/>
      </w:rPr>
    </w:lvl>
    <w:lvl w:ilvl="8" w:tplc="E09EB650">
      <w:numFmt w:val="bullet"/>
      <w:lvlText w:val="•"/>
      <w:lvlJc w:val="left"/>
      <w:pPr>
        <w:ind w:left="8276" w:hanging="345"/>
      </w:pPr>
      <w:rPr>
        <w:rFonts w:hint="default"/>
      </w:rPr>
    </w:lvl>
  </w:abstractNum>
  <w:abstractNum w:abstractNumId="3" w15:restartNumberingAfterBreak="0">
    <w:nsid w:val="4AEC76C0"/>
    <w:multiLevelType w:val="hybridMultilevel"/>
    <w:tmpl w:val="DBCA97E8"/>
    <w:lvl w:ilvl="0" w:tplc="94E82242">
      <w:start w:val="1"/>
      <w:numFmt w:val="bullet"/>
      <w:lvlText w:val="̶"/>
      <w:lvlJc w:val="left"/>
      <w:pPr>
        <w:ind w:left="849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C96EE3"/>
    <w:multiLevelType w:val="hybridMultilevel"/>
    <w:tmpl w:val="7562A436"/>
    <w:lvl w:ilvl="0" w:tplc="621A0A72">
      <w:numFmt w:val="bullet"/>
      <w:lvlText w:val="-"/>
      <w:lvlJc w:val="left"/>
      <w:pPr>
        <w:ind w:left="849" w:hanging="360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6B5015"/>
    <w:multiLevelType w:val="hybridMultilevel"/>
    <w:tmpl w:val="E2902D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767973"/>
    <w:multiLevelType w:val="hybridMultilevel"/>
    <w:tmpl w:val="7D1E461A"/>
    <w:lvl w:ilvl="0" w:tplc="48E03FEA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275622"/>
    <w:multiLevelType w:val="hybridMultilevel"/>
    <w:tmpl w:val="57966EF4"/>
    <w:lvl w:ilvl="0" w:tplc="80607C26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801209">
    <w:abstractNumId w:val="2"/>
  </w:num>
  <w:num w:numId="2" w16cid:durableId="1369795395">
    <w:abstractNumId w:val="3"/>
  </w:num>
  <w:num w:numId="3" w16cid:durableId="606232510">
    <w:abstractNumId w:val="4"/>
  </w:num>
  <w:num w:numId="4" w16cid:durableId="1458374912">
    <w:abstractNumId w:val="0"/>
  </w:num>
  <w:num w:numId="5" w16cid:durableId="925967467">
    <w:abstractNumId w:val="5"/>
  </w:num>
  <w:num w:numId="6" w16cid:durableId="1931542828">
    <w:abstractNumId w:val="7"/>
  </w:num>
  <w:num w:numId="7" w16cid:durableId="1643535301">
    <w:abstractNumId w:val="1"/>
  </w:num>
  <w:num w:numId="8" w16cid:durableId="6584663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formatting="1" w:enforcement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ED4"/>
    <w:rsid w:val="00021BFC"/>
    <w:rsid w:val="000257DD"/>
    <w:rsid w:val="00037438"/>
    <w:rsid w:val="00045911"/>
    <w:rsid w:val="00065060"/>
    <w:rsid w:val="00075639"/>
    <w:rsid w:val="00075F14"/>
    <w:rsid w:val="00076B31"/>
    <w:rsid w:val="000924D0"/>
    <w:rsid w:val="000948F1"/>
    <w:rsid w:val="000B2933"/>
    <w:rsid w:val="000E64B8"/>
    <w:rsid w:val="001078B3"/>
    <w:rsid w:val="00110401"/>
    <w:rsid w:val="001266BF"/>
    <w:rsid w:val="00164032"/>
    <w:rsid w:val="00173DC8"/>
    <w:rsid w:val="001A3467"/>
    <w:rsid w:val="002405F5"/>
    <w:rsid w:val="002622F6"/>
    <w:rsid w:val="00265CB9"/>
    <w:rsid w:val="00272898"/>
    <w:rsid w:val="00290741"/>
    <w:rsid w:val="002926E8"/>
    <w:rsid w:val="002A483F"/>
    <w:rsid w:val="003043E2"/>
    <w:rsid w:val="00323A01"/>
    <w:rsid w:val="00351D49"/>
    <w:rsid w:val="0035355E"/>
    <w:rsid w:val="00361129"/>
    <w:rsid w:val="00371A95"/>
    <w:rsid w:val="0043172E"/>
    <w:rsid w:val="00442366"/>
    <w:rsid w:val="004714C6"/>
    <w:rsid w:val="0047231F"/>
    <w:rsid w:val="0047637F"/>
    <w:rsid w:val="00491912"/>
    <w:rsid w:val="004B4946"/>
    <w:rsid w:val="004E411B"/>
    <w:rsid w:val="004F011D"/>
    <w:rsid w:val="004F403D"/>
    <w:rsid w:val="005138E5"/>
    <w:rsid w:val="005417EF"/>
    <w:rsid w:val="00543C7A"/>
    <w:rsid w:val="00556AD0"/>
    <w:rsid w:val="005B2ED4"/>
    <w:rsid w:val="005F2E98"/>
    <w:rsid w:val="006107E7"/>
    <w:rsid w:val="00612D69"/>
    <w:rsid w:val="00622856"/>
    <w:rsid w:val="0063635F"/>
    <w:rsid w:val="0064617C"/>
    <w:rsid w:val="0066014E"/>
    <w:rsid w:val="00681D72"/>
    <w:rsid w:val="00685301"/>
    <w:rsid w:val="006A2375"/>
    <w:rsid w:val="006A6934"/>
    <w:rsid w:val="006B2348"/>
    <w:rsid w:val="006B2C6D"/>
    <w:rsid w:val="006B6D26"/>
    <w:rsid w:val="006C630B"/>
    <w:rsid w:val="006D6820"/>
    <w:rsid w:val="006E4D10"/>
    <w:rsid w:val="00735CF1"/>
    <w:rsid w:val="00747A49"/>
    <w:rsid w:val="00756175"/>
    <w:rsid w:val="0077541B"/>
    <w:rsid w:val="00777C8B"/>
    <w:rsid w:val="0079276E"/>
    <w:rsid w:val="007D3000"/>
    <w:rsid w:val="007E3DDF"/>
    <w:rsid w:val="007F2C9C"/>
    <w:rsid w:val="00800306"/>
    <w:rsid w:val="00807CCD"/>
    <w:rsid w:val="00851458"/>
    <w:rsid w:val="0085454E"/>
    <w:rsid w:val="00874AA0"/>
    <w:rsid w:val="00881E9F"/>
    <w:rsid w:val="00882D33"/>
    <w:rsid w:val="008B5181"/>
    <w:rsid w:val="008D59BF"/>
    <w:rsid w:val="008D63A4"/>
    <w:rsid w:val="008E5F5F"/>
    <w:rsid w:val="00942B28"/>
    <w:rsid w:val="00961EFE"/>
    <w:rsid w:val="00965B19"/>
    <w:rsid w:val="00983ADA"/>
    <w:rsid w:val="00992DBA"/>
    <w:rsid w:val="009B285F"/>
    <w:rsid w:val="009B302B"/>
    <w:rsid w:val="009C2BC3"/>
    <w:rsid w:val="009F4223"/>
    <w:rsid w:val="00A30EA6"/>
    <w:rsid w:val="00A364E4"/>
    <w:rsid w:val="00A9177B"/>
    <w:rsid w:val="00AB0307"/>
    <w:rsid w:val="00AD2B0C"/>
    <w:rsid w:val="00B01231"/>
    <w:rsid w:val="00B16931"/>
    <w:rsid w:val="00B51CAE"/>
    <w:rsid w:val="00B65E57"/>
    <w:rsid w:val="00B864B8"/>
    <w:rsid w:val="00B924BA"/>
    <w:rsid w:val="00BB1F54"/>
    <w:rsid w:val="00BB62B7"/>
    <w:rsid w:val="00C1578D"/>
    <w:rsid w:val="00C27E6A"/>
    <w:rsid w:val="00C61458"/>
    <w:rsid w:val="00C67312"/>
    <w:rsid w:val="00CB1C9A"/>
    <w:rsid w:val="00CB238D"/>
    <w:rsid w:val="00CD5E65"/>
    <w:rsid w:val="00CF6461"/>
    <w:rsid w:val="00D10C52"/>
    <w:rsid w:val="00D66FCC"/>
    <w:rsid w:val="00DA3093"/>
    <w:rsid w:val="00DB5393"/>
    <w:rsid w:val="00DC573F"/>
    <w:rsid w:val="00E00E6D"/>
    <w:rsid w:val="00E1750F"/>
    <w:rsid w:val="00E743E8"/>
    <w:rsid w:val="00EA097D"/>
    <w:rsid w:val="00EA571B"/>
    <w:rsid w:val="00EC5A7D"/>
    <w:rsid w:val="00EE0E18"/>
    <w:rsid w:val="00F176F4"/>
    <w:rsid w:val="00F40A5B"/>
    <w:rsid w:val="00F60753"/>
    <w:rsid w:val="00F60DE1"/>
    <w:rsid w:val="00F64B8F"/>
    <w:rsid w:val="00F82E2F"/>
    <w:rsid w:val="00FB17E1"/>
    <w:rsid w:val="00FB6A61"/>
    <w:rsid w:val="00FC1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6E0B3DC"/>
  <w15:docId w15:val="{601B1A36-9AFD-4CB7-937B-FD7B0B144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65B19"/>
    <w:rPr>
      <w:lang w:val="fr-FR"/>
    </w:rPr>
  </w:style>
  <w:style w:type="paragraph" w:styleId="Titre1">
    <w:name w:val="heading 1"/>
    <w:basedOn w:val="Normal"/>
    <w:next w:val="Corpsdetexte"/>
    <w:link w:val="Titre1Car"/>
    <w:uiPriority w:val="9"/>
    <w:qFormat/>
    <w:rsid w:val="006B6D26"/>
    <w:pPr>
      <w:jc w:val="center"/>
      <w:outlineLvl w:val="0"/>
    </w:pPr>
    <w:rPr>
      <w:b/>
      <w:sz w:val="24"/>
      <w:szCs w:val="24"/>
    </w:rPr>
  </w:style>
  <w:style w:type="paragraph" w:styleId="Titre2">
    <w:name w:val="heading 2"/>
    <w:basedOn w:val="Normal"/>
    <w:next w:val="Normal"/>
    <w:link w:val="Titre2Car"/>
    <w:uiPriority w:val="9"/>
    <w:unhideWhenUsed/>
    <w:rsid w:val="00FB17E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44E4A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076B31"/>
  </w:style>
  <w:style w:type="paragraph" w:styleId="Paragraphedeliste">
    <w:name w:val="List Paragraph"/>
    <w:basedOn w:val="Normal"/>
    <w:uiPriority w:val="34"/>
    <w:qFormat/>
    <w:pPr>
      <w:spacing w:before="2"/>
      <w:ind w:left="474" w:hanging="346"/>
    </w:pPr>
  </w:style>
  <w:style w:type="paragraph" w:customStyle="1" w:styleId="TableParagraph">
    <w:name w:val="Table Paragraph"/>
    <w:basedOn w:val="Normal"/>
    <w:uiPriority w:val="1"/>
  </w:style>
  <w:style w:type="character" w:styleId="Lienhypertexte">
    <w:name w:val="Hyperlink"/>
    <w:basedOn w:val="Policepardfaut"/>
    <w:uiPriority w:val="99"/>
    <w:unhideWhenUsed/>
    <w:rsid w:val="00290741"/>
    <w:rPr>
      <w:color w:val="5770BE" w:themeColor="hyperlink"/>
      <w:u w:val="single"/>
    </w:rPr>
  </w:style>
  <w:style w:type="paragraph" w:customStyle="1" w:styleId="Date1">
    <w:name w:val="Date1"/>
    <w:basedOn w:val="Normal"/>
    <w:link w:val="dateCar"/>
    <w:rsid w:val="0079276E"/>
    <w:pPr>
      <w:ind w:left="111"/>
    </w:pPr>
    <w:rPr>
      <w:i/>
      <w:color w:val="231F20"/>
    </w:rPr>
  </w:style>
  <w:style w:type="paragraph" w:styleId="En-tte">
    <w:name w:val="header"/>
    <w:basedOn w:val="Normal"/>
    <w:link w:val="En-tteCar"/>
    <w:uiPriority w:val="99"/>
    <w:unhideWhenUsed/>
    <w:rsid w:val="0079276E"/>
    <w:pPr>
      <w:tabs>
        <w:tab w:val="center" w:pos="4513"/>
        <w:tab w:val="right" w:pos="9026"/>
      </w:tabs>
    </w:pPr>
  </w:style>
  <w:style w:type="character" w:customStyle="1" w:styleId="dateCar">
    <w:name w:val="date Car"/>
    <w:basedOn w:val="Policepardfaut"/>
    <w:link w:val="Date1"/>
    <w:rsid w:val="0079276E"/>
    <w:rPr>
      <w:rFonts w:ascii="Arial" w:eastAsia="Arial" w:hAnsi="Arial" w:cs="Arial"/>
      <w:i/>
      <w:color w:val="231F20"/>
      <w:sz w:val="20"/>
      <w:lang w:val="fr-FR"/>
    </w:rPr>
  </w:style>
  <w:style w:type="character" w:customStyle="1" w:styleId="En-tteCar">
    <w:name w:val="En-tête Car"/>
    <w:basedOn w:val="Policepardfaut"/>
    <w:link w:val="En-tte"/>
    <w:uiPriority w:val="99"/>
    <w:rsid w:val="0079276E"/>
    <w:rPr>
      <w:rFonts w:ascii="Arial" w:eastAsia="Arial" w:hAnsi="Arial" w:cs="Arial"/>
    </w:rPr>
  </w:style>
  <w:style w:type="paragraph" w:styleId="Pieddepage">
    <w:name w:val="footer"/>
    <w:basedOn w:val="Normal"/>
    <w:link w:val="PieddepageCar"/>
    <w:uiPriority w:val="99"/>
    <w:unhideWhenUsed/>
    <w:rsid w:val="0079276E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9276E"/>
    <w:rPr>
      <w:rFonts w:ascii="Arial" w:eastAsia="Arial" w:hAnsi="Arial" w:cs="Arial"/>
    </w:rPr>
  </w:style>
  <w:style w:type="paragraph" w:customStyle="1" w:styleId="Objet">
    <w:name w:val="Objet"/>
    <w:basedOn w:val="Corpsdetexte"/>
    <w:next w:val="Corpsdetexte"/>
    <w:link w:val="ObjetCar"/>
    <w:qFormat/>
    <w:rsid w:val="00076B31"/>
    <w:pPr>
      <w:spacing w:before="103" w:line="242" w:lineRule="exact"/>
    </w:pPr>
    <w:rPr>
      <w:b/>
      <w:color w:val="231F20"/>
    </w:rPr>
  </w:style>
  <w:style w:type="paragraph" w:customStyle="1" w:styleId="Signat">
    <w:name w:val="Signat"/>
    <w:basedOn w:val="Titre1"/>
    <w:next w:val="Corpsdetexte"/>
    <w:link w:val="SignatCar"/>
    <w:qFormat/>
    <w:rsid w:val="00076B31"/>
    <w:pPr>
      <w:jc w:val="right"/>
    </w:pPr>
    <w:rPr>
      <w:color w:val="231F20"/>
    </w:rPr>
  </w:style>
  <w:style w:type="character" w:customStyle="1" w:styleId="CorpsdetexteCar">
    <w:name w:val="Corps de texte Car"/>
    <w:basedOn w:val="Policepardfaut"/>
    <w:link w:val="Corpsdetexte"/>
    <w:uiPriority w:val="1"/>
    <w:rsid w:val="00076B31"/>
  </w:style>
  <w:style w:type="character" w:customStyle="1" w:styleId="ObjetCar">
    <w:name w:val="Objet Car"/>
    <w:basedOn w:val="CorpsdetexteCar"/>
    <w:link w:val="Objet"/>
    <w:rsid w:val="00076B31"/>
    <w:rPr>
      <w:b/>
      <w:color w:val="231F20"/>
      <w:lang w:val="fr-FR"/>
    </w:rPr>
  </w:style>
  <w:style w:type="character" w:customStyle="1" w:styleId="Titre1Car">
    <w:name w:val="Titre 1 Car"/>
    <w:basedOn w:val="Policepardfaut"/>
    <w:link w:val="Titre1"/>
    <w:uiPriority w:val="9"/>
    <w:rsid w:val="006B6D26"/>
    <w:rPr>
      <w:b/>
      <w:sz w:val="24"/>
      <w:szCs w:val="24"/>
      <w:lang w:val="fr-FR"/>
    </w:rPr>
  </w:style>
  <w:style w:type="character" w:customStyle="1" w:styleId="SignatCar">
    <w:name w:val="Signat Car"/>
    <w:basedOn w:val="Titre1Car"/>
    <w:link w:val="Signat"/>
    <w:rsid w:val="00076B31"/>
    <w:rPr>
      <w:b/>
      <w:color w:val="231F20"/>
      <w:sz w:val="24"/>
      <w:szCs w:val="24"/>
      <w:lang w:val="fr-FR"/>
    </w:rPr>
  </w:style>
  <w:style w:type="paragraph" w:customStyle="1" w:styleId="Titredelapage">
    <w:name w:val="Titre de la page"/>
    <w:basedOn w:val="Normal"/>
    <w:link w:val="TitredelapageCar"/>
    <w:rsid w:val="00CD5E65"/>
    <w:pPr>
      <w:widowControl/>
      <w:autoSpaceDE/>
      <w:autoSpaceDN/>
      <w:spacing w:after="120" w:line="264" w:lineRule="auto"/>
      <w:jc w:val="center"/>
    </w:pPr>
    <w:rPr>
      <w:rFonts w:asciiTheme="minorHAnsi" w:eastAsiaTheme="minorEastAsia" w:hAnsiTheme="minorHAnsi" w:cstheme="minorBidi"/>
      <w:b/>
      <w:bCs/>
      <w:sz w:val="24"/>
      <w:lang w:eastAsia="fr-FR"/>
    </w:rPr>
  </w:style>
  <w:style w:type="paragraph" w:customStyle="1" w:styleId="Sous-titrecentrbold">
    <w:name w:val="Sous-titre centré bold"/>
    <w:basedOn w:val="Titredelapage"/>
    <w:link w:val="Sous-titrecentrboldCar"/>
    <w:rsid w:val="00CD5E65"/>
    <w:rPr>
      <w:sz w:val="16"/>
      <w:szCs w:val="16"/>
    </w:rPr>
  </w:style>
  <w:style w:type="character" w:customStyle="1" w:styleId="TitredelapageCar">
    <w:name w:val="Titre de la page Car"/>
    <w:link w:val="Titredelapage"/>
    <w:rsid w:val="00CD5E65"/>
    <w:rPr>
      <w:rFonts w:eastAsiaTheme="minorEastAsia"/>
      <w:b/>
      <w:bCs/>
      <w:sz w:val="24"/>
      <w:szCs w:val="20"/>
      <w:lang w:val="fr-FR" w:eastAsia="fr-FR"/>
    </w:rPr>
  </w:style>
  <w:style w:type="character" w:customStyle="1" w:styleId="Sous-titrecentrboldCar">
    <w:name w:val="Sous-titre centré bold Car"/>
    <w:link w:val="Sous-titrecentrbold"/>
    <w:rsid w:val="00CD5E65"/>
    <w:rPr>
      <w:rFonts w:eastAsiaTheme="minorEastAsia"/>
      <w:b/>
      <w:bCs/>
      <w:sz w:val="16"/>
      <w:szCs w:val="16"/>
      <w:lang w:val="fr-FR" w:eastAsia="fr-FR"/>
    </w:rPr>
  </w:style>
  <w:style w:type="paragraph" w:customStyle="1" w:styleId="Sous-titre1">
    <w:name w:val="Sous-titre1"/>
    <w:basedOn w:val="Normal"/>
    <w:next w:val="Corpsdetexte"/>
    <w:link w:val="Sous-titre1Car"/>
    <w:qFormat/>
    <w:rsid w:val="00076B31"/>
    <w:pPr>
      <w:jc w:val="center"/>
    </w:pPr>
    <w:rPr>
      <w:b/>
      <w:bCs/>
      <w:sz w:val="16"/>
      <w:szCs w:val="16"/>
    </w:rPr>
  </w:style>
  <w:style w:type="paragraph" w:customStyle="1" w:styleId="Sous-titre2">
    <w:name w:val="Sous-titre 2"/>
    <w:basedOn w:val="Sous-titre1"/>
    <w:next w:val="Corpsdetexte"/>
    <w:link w:val="Sous-titre2Car"/>
    <w:qFormat/>
    <w:rsid w:val="00076B31"/>
    <w:rPr>
      <w:b w:val="0"/>
      <w:bCs w:val="0"/>
    </w:rPr>
  </w:style>
  <w:style w:type="character" w:customStyle="1" w:styleId="Sous-titre1Car">
    <w:name w:val="Sous-titre1 Car"/>
    <w:basedOn w:val="Policepardfaut"/>
    <w:link w:val="Sous-titre1"/>
    <w:rsid w:val="00076B31"/>
    <w:rPr>
      <w:b/>
      <w:bCs/>
      <w:sz w:val="16"/>
      <w:szCs w:val="16"/>
      <w:lang w:val="fr-FR"/>
    </w:rPr>
  </w:style>
  <w:style w:type="paragraph" w:customStyle="1" w:styleId="Titre1demapage">
    <w:name w:val="Titre 1 de ma page"/>
    <w:basedOn w:val="Corpsdetexte"/>
    <w:next w:val="Corpsdetexte"/>
    <w:link w:val="Titre1demapageCar"/>
    <w:qFormat/>
    <w:rsid w:val="00076B31"/>
    <w:pPr>
      <w:spacing w:before="1"/>
    </w:pPr>
    <w:rPr>
      <w:b/>
      <w:bCs/>
    </w:rPr>
  </w:style>
  <w:style w:type="character" w:customStyle="1" w:styleId="Sous-titre2Car">
    <w:name w:val="Sous-titre 2 Car"/>
    <w:basedOn w:val="Sous-titre1Car"/>
    <w:link w:val="Sous-titre2"/>
    <w:rsid w:val="00076B31"/>
    <w:rPr>
      <w:b w:val="0"/>
      <w:bCs w:val="0"/>
      <w:sz w:val="16"/>
      <w:szCs w:val="16"/>
      <w:lang w:val="fr-FR"/>
    </w:rPr>
  </w:style>
  <w:style w:type="paragraph" w:customStyle="1" w:styleId="Titre2demapage">
    <w:name w:val="Titre 2 de ma page"/>
    <w:basedOn w:val="Titre1demapage"/>
    <w:next w:val="Corpsdetexte"/>
    <w:link w:val="Titre2demapageCar"/>
    <w:qFormat/>
    <w:rsid w:val="00076B31"/>
    <w:pPr>
      <w:spacing w:line="276" w:lineRule="auto"/>
    </w:pPr>
    <w:rPr>
      <w:sz w:val="16"/>
      <w:szCs w:val="16"/>
    </w:rPr>
  </w:style>
  <w:style w:type="character" w:customStyle="1" w:styleId="Titre1demapageCar">
    <w:name w:val="Titre 1 de ma page Car"/>
    <w:basedOn w:val="CorpsdetexteCar"/>
    <w:link w:val="Titre1demapage"/>
    <w:rsid w:val="00076B31"/>
    <w:rPr>
      <w:b/>
      <w:bCs/>
      <w:lang w:val="fr-FR"/>
    </w:rPr>
  </w:style>
  <w:style w:type="paragraph" w:customStyle="1" w:styleId="Titre3demapage">
    <w:name w:val="Titre 3 de ma page"/>
    <w:basedOn w:val="Titre2demapage"/>
    <w:next w:val="Corpsdetexte"/>
    <w:link w:val="Titre3demapageCar"/>
    <w:qFormat/>
    <w:rsid w:val="00076B31"/>
    <w:rPr>
      <w:b w:val="0"/>
      <w:bCs w:val="0"/>
    </w:rPr>
  </w:style>
  <w:style w:type="character" w:customStyle="1" w:styleId="Titre2demapageCar">
    <w:name w:val="Titre 2 de ma page Car"/>
    <w:basedOn w:val="Titre1demapageCar"/>
    <w:link w:val="Titre2demapage"/>
    <w:rsid w:val="00076B31"/>
    <w:rPr>
      <w:b/>
      <w:bCs/>
      <w:sz w:val="16"/>
      <w:szCs w:val="16"/>
      <w:lang w:val="fr-FR"/>
    </w:rPr>
  </w:style>
  <w:style w:type="character" w:customStyle="1" w:styleId="Titre3demapageCar">
    <w:name w:val="Titre 3 de ma page Car"/>
    <w:basedOn w:val="Titre2demapageCar"/>
    <w:link w:val="Titre3demapage"/>
    <w:rsid w:val="00076B31"/>
    <w:rPr>
      <w:b w:val="0"/>
      <w:bCs w:val="0"/>
      <w:sz w:val="16"/>
      <w:szCs w:val="16"/>
      <w:lang w:val="fr-FR"/>
    </w:rPr>
  </w:style>
  <w:style w:type="table" w:styleId="Grilledutableau">
    <w:name w:val="Table Grid"/>
    <w:basedOn w:val="TableauNormal"/>
    <w:uiPriority w:val="59"/>
    <w:rsid w:val="0096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60D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intituledirection">
    <w:name w:val="intitule direction"/>
    <w:basedOn w:val="Normal"/>
    <w:next w:val="Corpsdetexte"/>
    <w:link w:val="intituledirectionCar"/>
    <w:qFormat/>
    <w:rsid w:val="00076B31"/>
    <w:pPr>
      <w:tabs>
        <w:tab w:val="left" w:pos="5009"/>
      </w:tabs>
      <w:spacing w:line="276" w:lineRule="auto"/>
      <w:ind w:left="187" w:hanging="187"/>
    </w:pPr>
    <w:rPr>
      <w:b/>
      <w:bCs/>
      <w:color w:val="000000" w:themeColor="text1"/>
      <w:sz w:val="24"/>
      <w:szCs w:val="24"/>
    </w:rPr>
  </w:style>
  <w:style w:type="character" w:customStyle="1" w:styleId="intituledirectionCar">
    <w:name w:val="intitule direction Car"/>
    <w:basedOn w:val="Policepardfaut"/>
    <w:link w:val="intituledirection"/>
    <w:rsid w:val="00076B31"/>
    <w:rPr>
      <w:b/>
      <w:bCs/>
      <w:color w:val="000000" w:themeColor="text1"/>
      <w:sz w:val="24"/>
      <w:szCs w:val="24"/>
      <w:lang w:val="fr-FR"/>
    </w:rPr>
  </w:style>
  <w:style w:type="paragraph" w:customStyle="1" w:styleId="Date2">
    <w:name w:val="Date 2"/>
    <w:basedOn w:val="Normal"/>
    <w:link w:val="Date2Car"/>
    <w:rsid w:val="00CF6461"/>
    <w:pPr>
      <w:spacing w:before="139"/>
      <w:ind w:left="111"/>
      <w:jc w:val="right"/>
    </w:pPr>
    <w:rPr>
      <w:color w:val="231F20"/>
      <w:sz w:val="16"/>
      <w:szCs w:val="22"/>
    </w:rPr>
  </w:style>
  <w:style w:type="character" w:customStyle="1" w:styleId="Date2Car">
    <w:name w:val="Date 2 Car"/>
    <w:basedOn w:val="Policepardfaut"/>
    <w:link w:val="Date2"/>
    <w:rsid w:val="00CF6461"/>
    <w:rPr>
      <w:color w:val="231F20"/>
      <w:sz w:val="16"/>
      <w:szCs w:val="22"/>
      <w:lang w:val="fr-FR"/>
    </w:rPr>
  </w:style>
  <w:style w:type="paragraph" w:customStyle="1" w:styleId="Date20">
    <w:name w:val="Date2"/>
    <w:basedOn w:val="Date2"/>
    <w:next w:val="Corpsdetexte"/>
    <w:link w:val="Date2Car0"/>
    <w:qFormat/>
    <w:rsid w:val="00076B31"/>
    <w:pPr>
      <w:ind w:left="0"/>
    </w:pPr>
  </w:style>
  <w:style w:type="paragraph" w:customStyle="1" w:styleId="PieddePage0">
    <w:name w:val="Pied de Page"/>
    <w:basedOn w:val="Normal"/>
    <w:next w:val="Corpsdetexte"/>
    <w:link w:val="PieddePageCar0"/>
    <w:qFormat/>
    <w:rsid w:val="00076B31"/>
    <w:pPr>
      <w:spacing w:line="161" w:lineRule="exact"/>
      <w:ind w:left="187" w:hanging="187"/>
    </w:pPr>
    <w:rPr>
      <w:color w:val="939598"/>
      <w:sz w:val="14"/>
    </w:rPr>
  </w:style>
  <w:style w:type="character" w:customStyle="1" w:styleId="Date2Car0">
    <w:name w:val="Date2 Car"/>
    <w:basedOn w:val="Date2Car"/>
    <w:link w:val="Date20"/>
    <w:rsid w:val="00076B31"/>
    <w:rPr>
      <w:color w:val="231F20"/>
      <w:sz w:val="16"/>
      <w:szCs w:val="22"/>
      <w:lang w:val="fr-FR"/>
    </w:rPr>
  </w:style>
  <w:style w:type="character" w:customStyle="1" w:styleId="PieddePageCar0">
    <w:name w:val="Pied de Page Car"/>
    <w:basedOn w:val="Policepardfaut"/>
    <w:link w:val="PieddePage0"/>
    <w:rsid w:val="00076B31"/>
    <w:rPr>
      <w:color w:val="939598"/>
      <w:sz w:val="14"/>
      <w:lang w:val="fr-FR"/>
    </w:rPr>
  </w:style>
  <w:style w:type="paragraph" w:customStyle="1" w:styleId="Date10">
    <w:name w:val="Date 1"/>
    <w:basedOn w:val="Corpsdetexte"/>
    <w:next w:val="Corpsdetexte"/>
    <w:link w:val="Date1Car"/>
    <w:qFormat/>
    <w:rsid w:val="00076B31"/>
    <w:rPr>
      <w:rFonts w:asciiTheme="minorHAnsi" w:hAnsiTheme="minorHAnsi" w:cstheme="minorHAnsi"/>
      <w:color w:val="231F20"/>
    </w:rPr>
  </w:style>
  <w:style w:type="character" w:customStyle="1" w:styleId="Date1Car">
    <w:name w:val="Date 1 Car"/>
    <w:basedOn w:val="CorpsdetexteCar"/>
    <w:link w:val="Date10"/>
    <w:rsid w:val="00076B31"/>
    <w:rPr>
      <w:rFonts w:asciiTheme="minorHAnsi" w:hAnsiTheme="minorHAnsi" w:cstheme="minorHAnsi"/>
      <w:color w:val="231F20"/>
      <w:lang w:val="fr-FR"/>
    </w:rPr>
  </w:style>
  <w:style w:type="character" w:styleId="Numrodepage">
    <w:name w:val="page number"/>
    <w:basedOn w:val="Policepardfaut"/>
    <w:uiPriority w:val="99"/>
    <w:semiHidden/>
    <w:unhideWhenUsed/>
    <w:rsid w:val="00681D72"/>
  </w:style>
  <w:style w:type="paragraph" w:styleId="Textedebulles">
    <w:name w:val="Balloon Text"/>
    <w:basedOn w:val="Normal"/>
    <w:link w:val="TextedebullesCar"/>
    <w:uiPriority w:val="99"/>
    <w:semiHidden/>
    <w:unhideWhenUsed/>
    <w:rsid w:val="00DA309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A3093"/>
    <w:rPr>
      <w:rFonts w:ascii="Tahoma" w:hAnsi="Tahoma" w:cs="Tahoma"/>
      <w:sz w:val="16"/>
      <w:szCs w:val="16"/>
    </w:rPr>
  </w:style>
  <w:style w:type="paragraph" w:customStyle="1" w:styleId="PieddePage2">
    <w:name w:val="Pied de Page 2"/>
    <w:basedOn w:val="Normal"/>
    <w:next w:val="Corpsdetexte"/>
    <w:link w:val="PieddePage2Car"/>
    <w:qFormat/>
    <w:rsid w:val="00B51CAE"/>
    <w:pPr>
      <w:spacing w:line="161" w:lineRule="exact"/>
    </w:pPr>
    <w:rPr>
      <w:color w:val="939598"/>
      <w:sz w:val="14"/>
      <w:szCs w:val="22"/>
    </w:rPr>
  </w:style>
  <w:style w:type="character" w:customStyle="1" w:styleId="PieddePage2Car">
    <w:name w:val="Pied de Page 2 Car"/>
    <w:basedOn w:val="Policepardfaut"/>
    <w:link w:val="PieddePage2"/>
    <w:rsid w:val="00B51CAE"/>
    <w:rPr>
      <w:color w:val="939598"/>
      <w:sz w:val="14"/>
      <w:szCs w:val="22"/>
      <w:lang w:val="fr-FR"/>
    </w:rPr>
  </w:style>
  <w:style w:type="character" w:customStyle="1" w:styleId="Titre2Car">
    <w:name w:val="Titre 2 Car"/>
    <w:basedOn w:val="Policepardfaut"/>
    <w:link w:val="Titre2"/>
    <w:uiPriority w:val="9"/>
    <w:rsid w:val="00FB17E1"/>
    <w:rPr>
      <w:rFonts w:asciiTheme="majorHAnsi" w:eastAsiaTheme="majorEastAsia" w:hAnsiTheme="majorHAnsi" w:cstheme="majorBidi"/>
      <w:color w:val="344E4A" w:themeColor="accent1" w:themeShade="BF"/>
      <w:sz w:val="26"/>
      <w:szCs w:val="26"/>
      <w:lang w:val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FB17E1"/>
    <w:pPr>
      <w:widowControl/>
      <w:autoSpaceDE/>
      <w:autoSpaceDN/>
    </w:pPr>
    <w:rPr>
      <w:rFonts w:eastAsia="Arial" w:cs="Times New Roman"/>
      <w:sz w:val="22"/>
      <w:szCs w:val="22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24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2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DOS\ASP\PUBLIC\Organisation_service\Mod&#232;le%20documents\NOTE_DOS.dotx" TargetMode="External"/></Relationships>
</file>

<file path=word/theme/theme1.xml><?xml version="1.0" encoding="utf-8"?>
<a:theme xmlns:a="http://schemas.openxmlformats.org/drawingml/2006/main" name="ministere">
  <a:themeElements>
    <a:clrScheme name="Marque Etat">
      <a:dk1>
        <a:sysClr val="windowText" lastClr="000000"/>
      </a:dk1>
      <a:lt1>
        <a:sysClr val="window" lastClr="FFFFFF"/>
      </a:lt1>
      <a:dk2>
        <a:srgbClr val="E1000F"/>
      </a:dk2>
      <a:lt2>
        <a:srgbClr val="000091"/>
      </a:lt2>
      <a:accent1>
        <a:srgbClr val="466964"/>
      </a:accent1>
      <a:accent2>
        <a:srgbClr val="484D7A"/>
      </a:accent2>
      <a:accent3>
        <a:srgbClr val="FDCF41"/>
      </a:accent3>
      <a:accent4>
        <a:srgbClr val="FF6F4C"/>
      </a:accent4>
      <a:accent5>
        <a:srgbClr val="A26859"/>
      </a:accent5>
      <a:accent6>
        <a:srgbClr val="D08A77"/>
      </a:accent6>
      <a:hlink>
        <a:srgbClr val="5770BE"/>
      </a:hlink>
      <a:folHlink>
        <a:srgbClr val="5770BE"/>
      </a:folHlink>
    </a:clrScheme>
    <a:fontScheme name="Ministèr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49ABAD-6441-48A5-8322-D9770D5DD5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NOTE_DOS.dotx</Template>
  <TotalTime>269</TotalTime>
  <Pages>2</Pages>
  <Words>254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Impression</vt:lpstr>
    </vt:vector>
  </TitlesOfParts>
  <Company>Ministères Chargés des Affaires Sociales</Company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Impression</dc:title>
  <dc:creator>LEBLANC, Pierre (ARS-PDL/DT53-PRC)</dc:creator>
  <cp:lastModifiedBy>DAVID, Morgane (ARS-PDL/DOS/ASP)</cp:lastModifiedBy>
  <cp:revision>12</cp:revision>
  <dcterms:created xsi:type="dcterms:W3CDTF">2025-04-04T15:01:00Z</dcterms:created>
  <dcterms:modified xsi:type="dcterms:W3CDTF">2025-05-13T14:30:00Z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2020-02-23T00:00:00Z</vt:filetime>
  </property>
  <property fmtid="{D5CDD505-2E9C-101B-9397-08002B2CF9AE}" pid="3" name="Creator">
    <vt:lpwstr>Adobe Illustrator CC 22.1 (Macintosh)</vt:lpwstr>
  </property>
  <property fmtid="{D5CDD505-2E9C-101B-9397-08002B2CF9AE}" pid="4" name="LastSaved">
    <vt:filetime>2020-03-05T00:00:00Z</vt:filetime>
  </property>
</Properties>
</file>